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CB" w:rsidRPr="00AE7D28" w:rsidRDefault="005444CB" w:rsidP="005444CB">
      <w:pPr>
        <w:adjustRightInd w:val="0"/>
        <w:snapToGrid w:val="0"/>
        <w:spacing w:beforeLines="150" w:line="400" w:lineRule="exact"/>
        <w:outlineLvl w:val="0"/>
        <w:rPr>
          <w:rFonts w:hint="eastAsia"/>
          <w:kern w:val="0"/>
          <w:sz w:val="28"/>
          <w:szCs w:val="28"/>
        </w:rPr>
      </w:pPr>
      <w:r w:rsidRPr="00AE7D28">
        <w:rPr>
          <w:rFonts w:hint="eastAsia"/>
          <w:kern w:val="0"/>
          <w:sz w:val="28"/>
          <w:szCs w:val="28"/>
        </w:rPr>
        <w:t>附件：</w:t>
      </w:r>
    </w:p>
    <w:p w:rsidR="005444CB" w:rsidRDefault="005444CB" w:rsidP="005444CB">
      <w:pPr>
        <w:spacing w:line="640" w:lineRule="exact"/>
        <w:jc w:val="center"/>
        <w:outlineLvl w:val="0"/>
        <w:rPr>
          <w:rFonts w:eastAsia="华文中宋" w:hint="eastAsia"/>
          <w:b/>
          <w:sz w:val="44"/>
          <w:szCs w:val="44"/>
        </w:rPr>
      </w:pPr>
      <w:r w:rsidRPr="00283F20">
        <w:rPr>
          <w:rFonts w:eastAsia="华文中宋" w:hint="eastAsia"/>
          <w:b/>
          <w:sz w:val="44"/>
          <w:szCs w:val="44"/>
        </w:rPr>
        <w:t>国际城市论坛京津冀协同发展</w:t>
      </w:r>
      <w:r w:rsidRPr="00283F20">
        <w:rPr>
          <w:rFonts w:eastAsia="华文中宋" w:hint="eastAsia"/>
          <w:b/>
          <w:sz w:val="44"/>
          <w:szCs w:val="44"/>
        </w:rPr>
        <w:t>201</w:t>
      </w:r>
      <w:r>
        <w:rPr>
          <w:rFonts w:eastAsia="华文中宋" w:hint="eastAsia"/>
          <w:b/>
          <w:sz w:val="44"/>
          <w:szCs w:val="44"/>
        </w:rPr>
        <w:t>6</w:t>
      </w:r>
      <w:r w:rsidRPr="00283F20">
        <w:rPr>
          <w:rFonts w:eastAsia="华文中宋" w:hint="eastAsia"/>
          <w:b/>
          <w:sz w:val="44"/>
          <w:szCs w:val="44"/>
        </w:rPr>
        <w:t>年年会</w:t>
      </w:r>
    </w:p>
    <w:p w:rsidR="005444CB" w:rsidRPr="00283F20" w:rsidRDefault="005444CB" w:rsidP="005444CB">
      <w:pPr>
        <w:spacing w:line="640" w:lineRule="exact"/>
        <w:jc w:val="center"/>
        <w:outlineLvl w:val="0"/>
        <w:rPr>
          <w:rFonts w:eastAsia="华文中宋" w:hint="eastAsia"/>
          <w:b/>
          <w:sz w:val="44"/>
          <w:szCs w:val="44"/>
        </w:rPr>
      </w:pPr>
      <w:r w:rsidRPr="00283F20">
        <w:rPr>
          <w:rFonts w:eastAsia="华文中宋" w:hint="eastAsia"/>
          <w:b/>
          <w:sz w:val="44"/>
          <w:szCs w:val="44"/>
        </w:rPr>
        <w:t>专家演讲研究选题方向</w:t>
      </w:r>
    </w:p>
    <w:p w:rsidR="005444CB" w:rsidRPr="00FF37DA" w:rsidRDefault="005444CB" w:rsidP="005444CB">
      <w:pPr>
        <w:spacing w:line="580" w:lineRule="exact"/>
        <w:jc w:val="center"/>
        <w:rPr>
          <w:rFonts w:ascii="黑体" w:eastAsia="黑体" w:hint="eastAsia"/>
          <w:sz w:val="32"/>
          <w:szCs w:val="32"/>
        </w:rPr>
      </w:pPr>
    </w:p>
    <w:p w:rsidR="005444CB" w:rsidRDefault="005444CB" w:rsidP="005444C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本研究选题方向仅供参考，专家也可根据自己的研究领域自行确定研究选题。</w:t>
      </w:r>
    </w:p>
    <w:p w:rsidR="005444CB" w:rsidRPr="00790E5A" w:rsidRDefault="005444CB" w:rsidP="005444CB">
      <w:pPr>
        <w:spacing w:line="580" w:lineRule="exact"/>
        <w:ind w:firstLineChars="200" w:firstLine="640"/>
        <w:outlineLvl w:val="1"/>
        <w:rPr>
          <w:rFonts w:ascii="黑体" w:eastAsia="黑体" w:hint="eastAsia"/>
          <w:bCs/>
          <w:sz w:val="32"/>
          <w:szCs w:val="32"/>
        </w:rPr>
      </w:pPr>
      <w:r w:rsidRPr="00790E5A">
        <w:rPr>
          <w:rFonts w:ascii="黑体" w:eastAsia="黑体" w:hint="eastAsia"/>
          <w:bCs/>
          <w:sz w:val="32"/>
          <w:szCs w:val="32"/>
        </w:rPr>
        <w:t>一、主论坛：</w:t>
      </w:r>
      <w:r w:rsidRPr="002D3B67">
        <w:rPr>
          <w:rFonts w:ascii="黑体" w:eastAsia="黑体" w:hint="eastAsia"/>
          <w:bCs/>
          <w:sz w:val="32"/>
          <w:szCs w:val="32"/>
        </w:rPr>
        <w:t>京津冀协同发展：五大理念与战略行动</w:t>
      </w:r>
    </w:p>
    <w:p w:rsidR="005444CB" w:rsidRDefault="005444CB" w:rsidP="005444CB">
      <w:pPr>
        <w:numPr>
          <w:ilvl w:val="0"/>
          <w:numId w:val="1"/>
        </w:numPr>
        <w:tabs>
          <w:tab w:val="left" w:pos="1134"/>
        </w:tabs>
        <w:spacing w:line="580" w:lineRule="exact"/>
        <w:ind w:firstLine="200"/>
        <w:rPr>
          <w:rFonts w:ascii="仿宋_GB2312" w:eastAsia="仿宋_GB2312" w:hint="eastAsia"/>
          <w:sz w:val="32"/>
          <w:szCs w:val="32"/>
        </w:rPr>
      </w:pPr>
      <w:r>
        <w:rPr>
          <w:rFonts w:ascii="仿宋_GB2312" w:eastAsia="仿宋_GB2312" w:hint="eastAsia"/>
          <w:sz w:val="32"/>
          <w:szCs w:val="32"/>
        </w:rPr>
        <w:t>五大发展理念与京津冀协同发展新思路、新模式与新路径</w:t>
      </w:r>
    </w:p>
    <w:p w:rsidR="005444CB" w:rsidRDefault="005444CB" w:rsidP="005444CB">
      <w:pPr>
        <w:numPr>
          <w:ilvl w:val="0"/>
          <w:numId w:val="1"/>
        </w:numPr>
        <w:tabs>
          <w:tab w:val="left" w:pos="1134"/>
        </w:tabs>
        <w:spacing w:line="580" w:lineRule="exact"/>
        <w:ind w:firstLine="200"/>
        <w:rPr>
          <w:rFonts w:ascii="仿宋_GB2312" w:eastAsia="仿宋_GB2312" w:hint="eastAsia"/>
          <w:sz w:val="32"/>
          <w:szCs w:val="32"/>
        </w:rPr>
      </w:pPr>
      <w:r>
        <w:rPr>
          <w:rFonts w:ascii="仿宋_GB2312" w:eastAsia="仿宋_GB2312" w:hint="eastAsia"/>
          <w:sz w:val="32"/>
          <w:szCs w:val="32"/>
        </w:rPr>
        <w:t>京津冀协同发展新进展、新困境与新探索</w:t>
      </w:r>
    </w:p>
    <w:p w:rsidR="005444CB" w:rsidRDefault="005444CB" w:rsidP="005444CB">
      <w:pPr>
        <w:numPr>
          <w:ilvl w:val="0"/>
          <w:numId w:val="1"/>
        </w:numPr>
        <w:tabs>
          <w:tab w:val="left" w:pos="1134"/>
        </w:tabs>
        <w:spacing w:line="580" w:lineRule="exact"/>
        <w:ind w:firstLine="200"/>
        <w:rPr>
          <w:rFonts w:ascii="仿宋_GB2312" w:eastAsia="仿宋_GB2312" w:hint="eastAsia"/>
          <w:sz w:val="32"/>
          <w:szCs w:val="32"/>
        </w:rPr>
      </w:pPr>
      <w:r>
        <w:rPr>
          <w:rFonts w:ascii="仿宋_GB2312" w:eastAsia="仿宋_GB2312" w:hint="eastAsia"/>
          <w:sz w:val="32"/>
          <w:szCs w:val="32"/>
        </w:rPr>
        <w:t>供给侧改革与京津冀协同发展战略调整</w:t>
      </w:r>
    </w:p>
    <w:p w:rsidR="005444CB" w:rsidRDefault="005444CB" w:rsidP="005444CB">
      <w:pPr>
        <w:numPr>
          <w:ilvl w:val="0"/>
          <w:numId w:val="1"/>
        </w:numPr>
        <w:tabs>
          <w:tab w:val="left" w:pos="1134"/>
        </w:tabs>
        <w:spacing w:line="580" w:lineRule="exact"/>
        <w:ind w:firstLine="200"/>
        <w:rPr>
          <w:rFonts w:ascii="仿宋_GB2312" w:eastAsia="仿宋_GB2312" w:hint="eastAsia"/>
          <w:sz w:val="32"/>
          <w:szCs w:val="32"/>
        </w:rPr>
      </w:pPr>
      <w:r>
        <w:rPr>
          <w:rFonts w:ascii="仿宋_GB2312" w:eastAsia="仿宋_GB2312" w:hint="eastAsia"/>
          <w:sz w:val="32"/>
          <w:szCs w:val="32"/>
        </w:rPr>
        <w:t>建设以首都为核心的世界级城市群</w:t>
      </w:r>
    </w:p>
    <w:p w:rsidR="005444CB" w:rsidRDefault="005444CB" w:rsidP="005444CB">
      <w:pPr>
        <w:numPr>
          <w:ilvl w:val="0"/>
          <w:numId w:val="1"/>
        </w:numPr>
        <w:tabs>
          <w:tab w:val="left" w:pos="1134"/>
        </w:tabs>
        <w:spacing w:line="580" w:lineRule="exact"/>
        <w:ind w:firstLine="200"/>
        <w:rPr>
          <w:rFonts w:ascii="仿宋_GB2312" w:eastAsia="仿宋_GB2312" w:hint="eastAsia"/>
          <w:sz w:val="32"/>
          <w:szCs w:val="32"/>
        </w:rPr>
      </w:pPr>
      <w:r>
        <w:rPr>
          <w:rFonts w:ascii="仿宋_GB2312" w:eastAsia="仿宋_GB2312" w:hint="eastAsia"/>
          <w:sz w:val="32"/>
          <w:szCs w:val="32"/>
        </w:rPr>
        <w:t>打造中国经济发展新的支撑带</w:t>
      </w:r>
    </w:p>
    <w:p w:rsidR="005444CB" w:rsidRDefault="005444CB" w:rsidP="005444CB">
      <w:pPr>
        <w:numPr>
          <w:ilvl w:val="0"/>
          <w:numId w:val="1"/>
        </w:numPr>
        <w:tabs>
          <w:tab w:val="left" w:pos="1134"/>
        </w:tabs>
        <w:spacing w:line="580" w:lineRule="exact"/>
        <w:ind w:firstLine="200"/>
        <w:rPr>
          <w:rFonts w:ascii="仿宋_GB2312" w:eastAsia="仿宋_GB2312" w:hint="eastAsia"/>
          <w:sz w:val="32"/>
          <w:szCs w:val="32"/>
        </w:rPr>
      </w:pPr>
      <w:r>
        <w:rPr>
          <w:rFonts w:ascii="仿宋_GB2312" w:eastAsia="仿宋_GB2312" w:hint="eastAsia"/>
          <w:sz w:val="32"/>
          <w:szCs w:val="32"/>
        </w:rPr>
        <w:t>人口经济密集地区优化开发模式探索</w:t>
      </w:r>
    </w:p>
    <w:p w:rsidR="005444CB" w:rsidRDefault="005444CB" w:rsidP="005444CB">
      <w:pPr>
        <w:numPr>
          <w:ilvl w:val="0"/>
          <w:numId w:val="1"/>
        </w:numPr>
        <w:tabs>
          <w:tab w:val="left" w:pos="1134"/>
        </w:tabs>
        <w:spacing w:line="580" w:lineRule="exact"/>
        <w:ind w:firstLine="200"/>
        <w:rPr>
          <w:rFonts w:ascii="仿宋_GB2312" w:eastAsia="仿宋_GB2312" w:hint="eastAsia"/>
          <w:sz w:val="32"/>
          <w:szCs w:val="32"/>
        </w:rPr>
      </w:pPr>
      <w:r>
        <w:rPr>
          <w:rFonts w:ascii="仿宋_GB2312" w:eastAsia="仿宋_GB2312" w:hint="eastAsia"/>
          <w:sz w:val="32"/>
          <w:szCs w:val="32"/>
        </w:rPr>
        <w:t>打造现代化新型首都圈</w:t>
      </w:r>
    </w:p>
    <w:p w:rsidR="005444CB" w:rsidRDefault="005444CB" w:rsidP="005444CB">
      <w:pPr>
        <w:numPr>
          <w:ilvl w:val="0"/>
          <w:numId w:val="1"/>
        </w:numPr>
        <w:tabs>
          <w:tab w:val="left" w:pos="1134"/>
        </w:tabs>
        <w:spacing w:line="580" w:lineRule="exact"/>
        <w:ind w:firstLine="200"/>
        <w:rPr>
          <w:rFonts w:ascii="仿宋_GB2312" w:eastAsia="仿宋_GB2312" w:hint="eastAsia"/>
          <w:sz w:val="32"/>
          <w:szCs w:val="32"/>
        </w:rPr>
      </w:pPr>
      <w:r>
        <w:rPr>
          <w:rFonts w:ascii="仿宋_GB2312" w:eastAsia="仿宋_GB2312" w:hint="eastAsia"/>
          <w:sz w:val="32"/>
          <w:szCs w:val="32"/>
        </w:rPr>
        <w:t>京津冀协同发展对环渤海地区北方腹地的作用</w:t>
      </w:r>
    </w:p>
    <w:p w:rsidR="005444CB" w:rsidRDefault="005444CB" w:rsidP="005444CB">
      <w:pPr>
        <w:numPr>
          <w:ilvl w:val="0"/>
          <w:numId w:val="1"/>
        </w:numPr>
        <w:tabs>
          <w:tab w:val="left" w:pos="1134"/>
        </w:tabs>
        <w:spacing w:line="580" w:lineRule="exact"/>
        <w:ind w:firstLine="200"/>
        <w:rPr>
          <w:rFonts w:ascii="仿宋_GB2312" w:eastAsia="仿宋_GB2312" w:hint="eastAsia"/>
          <w:sz w:val="32"/>
          <w:szCs w:val="32"/>
        </w:rPr>
      </w:pPr>
      <w:r>
        <w:rPr>
          <w:rFonts w:ascii="仿宋_GB2312" w:eastAsia="仿宋_GB2312" w:hint="eastAsia"/>
          <w:sz w:val="32"/>
          <w:szCs w:val="32"/>
        </w:rPr>
        <w:t>走出一条中国特色解决“大城市病”的新路子</w:t>
      </w:r>
    </w:p>
    <w:p w:rsidR="005444CB" w:rsidRDefault="005444CB" w:rsidP="005444CB">
      <w:pPr>
        <w:numPr>
          <w:ilvl w:val="0"/>
          <w:numId w:val="1"/>
        </w:numPr>
        <w:tabs>
          <w:tab w:val="left" w:pos="1134"/>
        </w:tabs>
        <w:spacing w:line="580" w:lineRule="exact"/>
        <w:ind w:firstLine="200"/>
        <w:rPr>
          <w:rFonts w:ascii="仿宋_GB2312" w:eastAsia="仿宋_GB2312" w:hint="eastAsia"/>
          <w:sz w:val="32"/>
          <w:szCs w:val="32"/>
        </w:rPr>
      </w:pPr>
      <w:r>
        <w:rPr>
          <w:rFonts w:ascii="仿宋_GB2312" w:eastAsia="仿宋_GB2312" w:hint="eastAsia"/>
          <w:sz w:val="32"/>
          <w:szCs w:val="32"/>
        </w:rPr>
        <w:t>疏解北京非首都功能与优化提升首都核心功能</w:t>
      </w:r>
    </w:p>
    <w:p w:rsidR="005444CB" w:rsidRDefault="005444CB" w:rsidP="005444CB">
      <w:pPr>
        <w:numPr>
          <w:ilvl w:val="0"/>
          <w:numId w:val="1"/>
        </w:numPr>
        <w:spacing w:line="580" w:lineRule="exact"/>
        <w:ind w:firstLine="200"/>
        <w:rPr>
          <w:rFonts w:ascii="仿宋_GB2312" w:eastAsia="仿宋_GB2312" w:hint="eastAsia"/>
          <w:sz w:val="32"/>
          <w:szCs w:val="32"/>
        </w:rPr>
      </w:pPr>
      <w:r>
        <w:rPr>
          <w:rFonts w:ascii="仿宋_GB2312" w:eastAsia="仿宋_GB2312" w:hint="eastAsia"/>
          <w:sz w:val="32"/>
          <w:szCs w:val="32"/>
        </w:rPr>
        <w:t>疏解北京非首都功能中的市场机制和政府作用</w:t>
      </w:r>
    </w:p>
    <w:p w:rsidR="005444CB" w:rsidRDefault="005444CB" w:rsidP="005444CB">
      <w:pPr>
        <w:numPr>
          <w:ilvl w:val="0"/>
          <w:numId w:val="1"/>
        </w:numPr>
        <w:spacing w:line="580" w:lineRule="exact"/>
        <w:ind w:firstLine="200"/>
        <w:rPr>
          <w:rFonts w:ascii="仿宋_GB2312" w:eastAsia="仿宋_GB2312" w:hint="eastAsia"/>
          <w:sz w:val="32"/>
          <w:szCs w:val="32"/>
        </w:rPr>
      </w:pPr>
      <w:r>
        <w:rPr>
          <w:rFonts w:ascii="仿宋_GB2312" w:eastAsia="仿宋_GB2312" w:hint="eastAsia"/>
          <w:sz w:val="32"/>
          <w:szCs w:val="32"/>
        </w:rPr>
        <w:t>北京国际一流的和谐宜居之都建设</w:t>
      </w:r>
    </w:p>
    <w:p w:rsidR="005444CB" w:rsidRDefault="005444CB" w:rsidP="005444CB">
      <w:pPr>
        <w:numPr>
          <w:ilvl w:val="0"/>
          <w:numId w:val="1"/>
        </w:numPr>
        <w:spacing w:line="580" w:lineRule="exact"/>
        <w:ind w:firstLine="200"/>
        <w:rPr>
          <w:rFonts w:ascii="仿宋_GB2312" w:eastAsia="仿宋_GB2312" w:hint="eastAsia"/>
          <w:sz w:val="32"/>
          <w:szCs w:val="32"/>
        </w:rPr>
      </w:pPr>
      <w:r>
        <w:rPr>
          <w:rFonts w:ascii="仿宋_GB2312" w:eastAsia="仿宋_GB2312" w:hint="eastAsia"/>
          <w:sz w:val="32"/>
          <w:szCs w:val="32"/>
        </w:rPr>
        <w:t>京津冀协同发展的空间布局和城镇体系</w:t>
      </w:r>
    </w:p>
    <w:p w:rsidR="005444CB" w:rsidRDefault="005444CB" w:rsidP="005444CB">
      <w:pPr>
        <w:numPr>
          <w:ilvl w:val="0"/>
          <w:numId w:val="1"/>
        </w:numPr>
        <w:spacing w:line="580" w:lineRule="exact"/>
        <w:ind w:firstLine="200"/>
        <w:rPr>
          <w:rFonts w:ascii="仿宋_GB2312" w:eastAsia="仿宋_GB2312" w:hint="eastAsia"/>
          <w:sz w:val="32"/>
          <w:szCs w:val="32"/>
        </w:rPr>
      </w:pPr>
      <w:r>
        <w:rPr>
          <w:rFonts w:ascii="仿宋_GB2312" w:eastAsia="仿宋_GB2312" w:hint="eastAsia"/>
          <w:sz w:val="32"/>
          <w:szCs w:val="32"/>
        </w:rPr>
        <w:t>调整优化京津冀行政区划设置</w:t>
      </w:r>
    </w:p>
    <w:p w:rsidR="005444CB" w:rsidRDefault="005444CB" w:rsidP="005444CB">
      <w:pPr>
        <w:numPr>
          <w:ilvl w:val="0"/>
          <w:numId w:val="1"/>
        </w:numPr>
        <w:spacing w:line="580" w:lineRule="exact"/>
        <w:ind w:firstLine="200"/>
        <w:rPr>
          <w:rFonts w:ascii="仿宋_GB2312" w:eastAsia="仿宋_GB2312" w:hint="eastAsia"/>
          <w:sz w:val="32"/>
          <w:szCs w:val="32"/>
        </w:rPr>
      </w:pPr>
      <w:r w:rsidRPr="001361F5">
        <w:rPr>
          <w:rFonts w:ascii="仿宋_GB2312" w:eastAsia="仿宋_GB2312" w:hint="eastAsia"/>
          <w:sz w:val="32"/>
          <w:szCs w:val="32"/>
        </w:rPr>
        <w:t>城市副中心建设与强化首都功能定位</w:t>
      </w:r>
      <w:r>
        <w:rPr>
          <w:rFonts w:ascii="仿宋_GB2312" w:eastAsia="仿宋_GB2312" w:hint="eastAsia"/>
          <w:sz w:val="32"/>
          <w:szCs w:val="32"/>
        </w:rPr>
        <w:t>研究</w:t>
      </w:r>
    </w:p>
    <w:p w:rsidR="005444CB" w:rsidRPr="002C1438" w:rsidRDefault="005444CB" w:rsidP="005444CB">
      <w:pPr>
        <w:numPr>
          <w:ilvl w:val="0"/>
          <w:numId w:val="1"/>
        </w:numPr>
        <w:spacing w:line="580" w:lineRule="exact"/>
        <w:ind w:firstLine="200"/>
        <w:rPr>
          <w:rFonts w:ascii="仿宋_GB2312" w:eastAsia="仿宋_GB2312" w:hint="eastAsia"/>
          <w:sz w:val="32"/>
          <w:szCs w:val="32"/>
        </w:rPr>
      </w:pPr>
      <w:r w:rsidRPr="002C1438">
        <w:rPr>
          <w:rFonts w:ascii="仿宋_GB2312" w:eastAsia="仿宋_GB2312" w:hint="eastAsia"/>
          <w:sz w:val="32"/>
          <w:szCs w:val="32"/>
        </w:rPr>
        <w:lastRenderedPageBreak/>
        <w:t>优化北京空间布局研究</w:t>
      </w:r>
    </w:p>
    <w:p w:rsidR="005444CB" w:rsidRPr="002C1438" w:rsidRDefault="005444CB" w:rsidP="005444CB">
      <w:pPr>
        <w:numPr>
          <w:ilvl w:val="0"/>
          <w:numId w:val="1"/>
        </w:numPr>
        <w:spacing w:line="580" w:lineRule="exact"/>
        <w:ind w:firstLine="200"/>
        <w:rPr>
          <w:rFonts w:ascii="仿宋_GB2312" w:eastAsia="仿宋_GB2312" w:hint="eastAsia"/>
          <w:sz w:val="32"/>
          <w:szCs w:val="32"/>
        </w:rPr>
      </w:pPr>
      <w:r w:rsidRPr="002C1438">
        <w:rPr>
          <w:rFonts w:ascii="仿宋_GB2312" w:eastAsia="仿宋_GB2312" w:hint="eastAsia"/>
          <w:sz w:val="32"/>
          <w:szCs w:val="32"/>
        </w:rPr>
        <w:t>北京腾退空间再利用研究</w:t>
      </w:r>
    </w:p>
    <w:p w:rsidR="005444CB" w:rsidRDefault="005444CB" w:rsidP="005444CB">
      <w:pPr>
        <w:numPr>
          <w:ilvl w:val="0"/>
          <w:numId w:val="1"/>
        </w:numPr>
        <w:spacing w:line="580" w:lineRule="exact"/>
        <w:ind w:firstLine="200"/>
        <w:rPr>
          <w:rFonts w:ascii="仿宋_GB2312" w:eastAsia="仿宋_GB2312" w:hint="eastAsia"/>
          <w:sz w:val="32"/>
          <w:szCs w:val="32"/>
        </w:rPr>
      </w:pPr>
      <w:r w:rsidRPr="002C1438">
        <w:rPr>
          <w:rFonts w:ascii="仿宋_GB2312" w:eastAsia="仿宋_GB2312" w:hint="eastAsia"/>
          <w:sz w:val="32"/>
          <w:szCs w:val="32"/>
        </w:rPr>
        <w:t>北京老城区空间重组的战略研究</w:t>
      </w:r>
    </w:p>
    <w:p w:rsidR="005444CB" w:rsidRPr="008305DF" w:rsidRDefault="005444CB" w:rsidP="005444CB">
      <w:pPr>
        <w:spacing w:line="580" w:lineRule="exact"/>
        <w:ind w:firstLineChars="200" w:firstLine="640"/>
        <w:rPr>
          <w:rFonts w:ascii="仿宋_GB2312" w:eastAsia="仿宋_GB2312" w:hint="eastAsia"/>
          <w:sz w:val="32"/>
          <w:szCs w:val="32"/>
        </w:rPr>
      </w:pPr>
    </w:p>
    <w:p w:rsidR="005444CB" w:rsidRPr="00790E5A" w:rsidRDefault="005444CB" w:rsidP="005444CB">
      <w:pPr>
        <w:spacing w:line="580" w:lineRule="exact"/>
        <w:ind w:firstLineChars="200" w:firstLine="640"/>
        <w:outlineLvl w:val="1"/>
        <w:rPr>
          <w:rFonts w:ascii="黑体" w:eastAsia="黑体" w:hint="eastAsia"/>
          <w:bCs/>
          <w:sz w:val="32"/>
          <w:szCs w:val="32"/>
        </w:rPr>
      </w:pPr>
      <w:r w:rsidRPr="00790E5A">
        <w:rPr>
          <w:rFonts w:ascii="黑体" w:eastAsia="黑体" w:hint="eastAsia"/>
          <w:bCs/>
          <w:sz w:val="32"/>
          <w:szCs w:val="32"/>
        </w:rPr>
        <w:t>二、分论坛一：</w:t>
      </w:r>
      <w:r w:rsidRPr="003E19EB">
        <w:rPr>
          <w:rFonts w:ascii="黑体" w:eastAsia="黑体" w:hint="eastAsia"/>
          <w:bCs/>
          <w:sz w:val="32"/>
          <w:szCs w:val="32"/>
        </w:rPr>
        <w:t>创新发展</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京津冀协同创新新进展、新困境与新探索</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京津冀协同发展中创新驱动新动力形成机制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w:t>
      </w:r>
      <w:r w:rsidRPr="001361F5">
        <w:rPr>
          <w:rFonts w:ascii="仿宋_GB2312" w:eastAsia="仿宋_GB2312" w:hint="eastAsia"/>
          <w:sz w:val="32"/>
          <w:szCs w:val="32"/>
        </w:rPr>
        <w:t>大众创业、万众创新体制机制</w:t>
      </w:r>
      <w:r>
        <w:rPr>
          <w:rFonts w:ascii="仿宋_GB2312" w:eastAsia="仿宋_GB2312" w:hint="eastAsia"/>
          <w:sz w:val="32"/>
          <w:szCs w:val="32"/>
        </w:rPr>
        <w:t>研究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深化科技体制改革，推动形成京津冀协同创新共同体</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京津冀打造我国自主创新重要源头和原始创新主要策源地</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北京构建“高精尖”经济结构</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w:t>
      </w:r>
      <w:r w:rsidRPr="00D812C9">
        <w:rPr>
          <w:rFonts w:ascii="仿宋_GB2312" w:eastAsia="仿宋_GB2312" w:hint="eastAsia"/>
          <w:sz w:val="32"/>
          <w:szCs w:val="32"/>
        </w:rPr>
        <w:t>实施“互联网+”战略的目标与实现路径研究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京津冀大数据产业发展研究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建立区域大数据中心</w:t>
      </w:r>
    </w:p>
    <w:p w:rsidR="005444CB" w:rsidRPr="00216614" w:rsidRDefault="005444CB" w:rsidP="005444CB">
      <w:pPr>
        <w:numPr>
          <w:ilvl w:val="0"/>
          <w:numId w:val="1"/>
        </w:numPr>
        <w:spacing w:line="580" w:lineRule="exact"/>
        <w:ind w:left="0" w:firstLine="620"/>
        <w:rPr>
          <w:rFonts w:ascii="仿宋_GB2312" w:eastAsia="仿宋_GB2312" w:hint="eastAsia"/>
          <w:sz w:val="32"/>
          <w:szCs w:val="32"/>
        </w:rPr>
      </w:pPr>
      <w:r w:rsidRPr="00216614">
        <w:rPr>
          <w:rFonts w:ascii="仿宋_GB2312" w:eastAsia="仿宋_GB2312" w:hint="eastAsia"/>
          <w:sz w:val="32"/>
          <w:szCs w:val="32"/>
        </w:rPr>
        <w:t>大数据驱动的</w:t>
      </w:r>
      <w:r>
        <w:rPr>
          <w:rFonts w:ascii="仿宋_GB2312" w:eastAsia="仿宋_GB2312" w:hint="eastAsia"/>
          <w:sz w:val="32"/>
          <w:szCs w:val="32"/>
        </w:rPr>
        <w:t>京津冀</w:t>
      </w:r>
      <w:r w:rsidRPr="00216614">
        <w:rPr>
          <w:rFonts w:ascii="仿宋_GB2312" w:eastAsia="仿宋_GB2312" w:hint="eastAsia"/>
          <w:sz w:val="32"/>
          <w:szCs w:val="32"/>
        </w:rPr>
        <w:t>治理体系和治理能力现代化</w:t>
      </w:r>
    </w:p>
    <w:p w:rsidR="005444CB" w:rsidRDefault="005444CB" w:rsidP="005444CB">
      <w:pPr>
        <w:numPr>
          <w:ilvl w:val="0"/>
          <w:numId w:val="1"/>
        </w:numPr>
        <w:spacing w:line="580" w:lineRule="exact"/>
        <w:ind w:left="0" w:firstLine="620"/>
        <w:rPr>
          <w:rFonts w:ascii="仿宋_GB2312" w:eastAsia="仿宋_GB2312" w:hint="eastAsia"/>
          <w:sz w:val="32"/>
          <w:szCs w:val="32"/>
        </w:rPr>
      </w:pPr>
      <w:r w:rsidRPr="00216614">
        <w:rPr>
          <w:rFonts w:ascii="仿宋_GB2312" w:eastAsia="仿宋_GB2312" w:hint="eastAsia"/>
          <w:sz w:val="32"/>
          <w:szCs w:val="32"/>
        </w:rPr>
        <w:t>大数据视阈下</w:t>
      </w:r>
      <w:r>
        <w:rPr>
          <w:rFonts w:ascii="仿宋_GB2312" w:eastAsia="仿宋_GB2312" w:hint="eastAsia"/>
          <w:sz w:val="32"/>
          <w:szCs w:val="32"/>
        </w:rPr>
        <w:t>京津冀</w:t>
      </w:r>
      <w:r w:rsidRPr="00216614">
        <w:rPr>
          <w:rFonts w:ascii="仿宋_GB2312" w:eastAsia="仿宋_GB2312" w:hint="eastAsia"/>
          <w:sz w:val="32"/>
          <w:szCs w:val="32"/>
        </w:rPr>
        <w:t>行政管理体制改革创新</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京津冀智慧城市体系建设</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北京</w:t>
      </w:r>
      <w:r w:rsidRPr="00434CEE">
        <w:rPr>
          <w:rFonts w:ascii="仿宋_GB2312" w:eastAsia="仿宋_GB2312" w:hint="eastAsia"/>
          <w:sz w:val="32"/>
          <w:szCs w:val="32"/>
        </w:rPr>
        <w:t>大力发展服务经济、知识经济、绿色经济</w:t>
      </w:r>
    </w:p>
    <w:p w:rsidR="005444CB" w:rsidRDefault="005444CB" w:rsidP="005444CB">
      <w:pPr>
        <w:numPr>
          <w:ilvl w:val="0"/>
          <w:numId w:val="1"/>
        </w:numPr>
        <w:spacing w:line="580" w:lineRule="exact"/>
        <w:ind w:left="0" w:firstLine="620"/>
        <w:rPr>
          <w:rFonts w:ascii="仿宋_GB2312" w:eastAsia="仿宋_GB2312" w:hint="eastAsia"/>
          <w:sz w:val="32"/>
          <w:szCs w:val="32"/>
        </w:rPr>
      </w:pPr>
      <w:r w:rsidRPr="00586C82">
        <w:rPr>
          <w:rFonts w:ascii="仿宋_GB2312" w:eastAsia="仿宋_GB2312" w:hint="eastAsia"/>
          <w:sz w:val="32"/>
          <w:szCs w:val="32"/>
        </w:rPr>
        <w:t>推动中关村国家自主创新示范区政策共享</w:t>
      </w:r>
      <w:r>
        <w:rPr>
          <w:rFonts w:ascii="仿宋_GB2312" w:eastAsia="仿宋_GB2312" w:hint="eastAsia"/>
          <w:sz w:val="32"/>
          <w:szCs w:val="32"/>
        </w:rPr>
        <w:t>，打造跨京津冀科技创新园区链</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构建分工合理的创新发展格局</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加强重点领域关键技术联合攻关和集成应用</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lastRenderedPageBreak/>
        <w:t>建立健全企业主导产业技术研发创新的体制机制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推进三省市技术市场一体化建设</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提高科技服务机构的专业服务能力</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构建多功能、多层次科技金融服务体系</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完善科技成果转化平台市场化运营机制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建立和完善京津冀创新人才自由流动、合理布局的体制机制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文化创新与京津冀世界级城市群建设</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北京全国文化中心建设</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首都历史文化名城保护与发展</w:t>
      </w:r>
    </w:p>
    <w:p w:rsidR="005444CB" w:rsidRPr="001020AD" w:rsidRDefault="005444CB" w:rsidP="005444CB">
      <w:pPr>
        <w:spacing w:line="580" w:lineRule="exact"/>
        <w:ind w:firstLineChars="200" w:firstLine="640"/>
        <w:rPr>
          <w:rFonts w:ascii="宋体" w:hAnsi="宋体" w:cs="宋体" w:hint="eastAsia"/>
          <w:sz w:val="32"/>
          <w:szCs w:val="32"/>
        </w:rPr>
      </w:pPr>
    </w:p>
    <w:p w:rsidR="005444CB" w:rsidRPr="00790E5A" w:rsidRDefault="005444CB" w:rsidP="005444CB">
      <w:pPr>
        <w:spacing w:line="580" w:lineRule="exact"/>
        <w:ind w:firstLineChars="200" w:firstLine="640"/>
        <w:outlineLvl w:val="1"/>
        <w:rPr>
          <w:rFonts w:ascii="黑体" w:eastAsia="黑体" w:hint="eastAsia"/>
          <w:bCs/>
          <w:sz w:val="32"/>
          <w:szCs w:val="32"/>
        </w:rPr>
      </w:pPr>
      <w:r w:rsidRPr="00790E5A">
        <w:rPr>
          <w:rFonts w:ascii="黑体" w:eastAsia="黑体" w:hint="eastAsia"/>
          <w:bCs/>
          <w:sz w:val="32"/>
          <w:szCs w:val="32"/>
        </w:rPr>
        <w:t>三、分论坛二：</w:t>
      </w:r>
      <w:r w:rsidRPr="003E19EB">
        <w:rPr>
          <w:rFonts w:ascii="黑体" w:eastAsia="黑体" w:hint="eastAsia"/>
          <w:bCs/>
          <w:sz w:val="32"/>
          <w:szCs w:val="32"/>
        </w:rPr>
        <w:t>协调发展</w:t>
      </w:r>
    </w:p>
    <w:p w:rsidR="005444CB" w:rsidRDefault="005444CB" w:rsidP="005444CB">
      <w:pPr>
        <w:numPr>
          <w:ilvl w:val="0"/>
          <w:numId w:val="1"/>
        </w:numPr>
        <w:spacing w:line="580" w:lineRule="exact"/>
        <w:ind w:left="0" w:firstLine="620"/>
        <w:rPr>
          <w:rFonts w:ascii="仿宋_GB2312" w:eastAsia="仿宋_GB2312" w:hint="eastAsia"/>
          <w:sz w:val="32"/>
          <w:szCs w:val="32"/>
        </w:rPr>
      </w:pPr>
      <w:r w:rsidRPr="00D812C9">
        <w:rPr>
          <w:rFonts w:ascii="仿宋_GB2312" w:eastAsia="仿宋_GB2312" w:hint="eastAsia"/>
          <w:sz w:val="32"/>
          <w:szCs w:val="32"/>
        </w:rPr>
        <w:t>京津双城联动实现路径研究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建立和完善中央相关部门、北京、天津、河北之间沟通协调机制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加快破除制约协同发展和要素流动的体制机制障碍，发挥市场配置资源的决定性作用</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建立和完善优势互补、互利共赢的区域一体化发展制度体系</w:t>
      </w:r>
    </w:p>
    <w:p w:rsidR="005444CB" w:rsidRDefault="005444CB" w:rsidP="005444CB">
      <w:pPr>
        <w:numPr>
          <w:ilvl w:val="0"/>
          <w:numId w:val="1"/>
        </w:numPr>
        <w:spacing w:line="580" w:lineRule="exact"/>
        <w:ind w:firstLine="200"/>
        <w:rPr>
          <w:rFonts w:ascii="仿宋_GB2312" w:eastAsia="仿宋_GB2312" w:hint="eastAsia"/>
          <w:sz w:val="32"/>
          <w:szCs w:val="32"/>
        </w:rPr>
      </w:pPr>
      <w:r>
        <w:rPr>
          <w:rFonts w:ascii="仿宋_GB2312" w:eastAsia="仿宋_GB2312" w:hint="eastAsia"/>
          <w:sz w:val="32"/>
          <w:szCs w:val="32"/>
        </w:rPr>
        <w:t>建立和完善以规划统筹促进协同发展的体制机制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率先探索和构建跨省区域协调、合作共享新体制与新机制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建立和完善企业跨区域服务体系</w:t>
      </w:r>
    </w:p>
    <w:p w:rsidR="005444CB" w:rsidRDefault="005444CB" w:rsidP="005444CB">
      <w:pPr>
        <w:numPr>
          <w:ilvl w:val="0"/>
          <w:numId w:val="1"/>
        </w:numPr>
        <w:spacing w:line="580" w:lineRule="exact"/>
        <w:ind w:left="0" w:firstLine="620"/>
        <w:rPr>
          <w:rFonts w:ascii="仿宋_GB2312" w:eastAsia="仿宋_GB2312" w:hint="eastAsia"/>
          <w:sz w:val="32"/>
          <w:szCs w:val="32"/>
        </w:rPr>
      </w:pPr>
      <w:r w:rsidRPr="00216614">
        <w:rPr>
          <w:rFonts w:ascii="仿宋_GB2312" w:eastAsia="仿宋_GB2312" w:hint="eastAsia"/>
          <w:sz w:val="32"/>
          <w:szCs w:val="32"/>
        </w:rPr>
        <w:t>京津冀一体化背景下交通与物流协同发展研究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lastRenderedPageBreak/>
        <w:t>完善人力资源合理流动和有效配置的相关政策</w:t>
      </w:r>
    </w:p>
    <w:p w:rsidR="005444CB" w:rsidRPr="008305DF"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京津冀协同发展的立法引领和法治保障</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完善跨区域</w:t>
      </w:r>
      <w:r w:rsidRPr="007164EC">
        <w:rPr>
          <w:rFonts w:ascii="仿宋_GB2312" w:eastAsia="仿宋_GB2312" w:hint="eastAsia"/>
          <w:sz w:val="32"/>
          <w:szCs w:val="32"/>
        </w:rPr>
        <w:t>法律法规体系</w:t>
      </w:r>
    </w:p>
    <w:p w:rsidR="005444CB" w:rsidRDefault="005444CB" w:rsidP="005444CB">
      <w:pPr>
        <w:numPr>
          <w:ilvl w:val="0"/>
          <w:numId w:val="1"/>
        </w:numPr>
        <w:spacing w:line="580" w:lineRule="exact"/>
        <w:ind w:left="0" w:firstLine="620"/>
        <w:rPr>
          <w:rFonts w:ascii="仿宋_GB2312" w:eastAsia="仿宋_GB2312" w:hint="eastAsia"/>
          <w:sz w:val="32"/>
          <w:szCs w:val="32"/>
        </w:rPr>
      </w:pPr>
      <w:r w:rsidRPr="00BB4E4A">
        <w:rPr>
          <w:rFonts w:ascii="仿宋_GB2312" w:eastAsia="仿宋_GB2312" w:hint="eastAsia"/>
          <w:sz w:val="32"/>
          <w:szCs w:val="32"/>
        </w:rPr>
        <w:t>京津冀环境保护立法执法协同合作</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京津冀联合举办冬奥会体制机制研究</w:t>
      </w:r>
    </w:p>
    <w:p w:rsidR="005444CB" w:rsidRDefault="005444CB" w:rsidP="005444CB">
      <w:pPr>
        <w:numPr>
          <w:ilvl w:val="0"/>
          <w:numId w:val="1"/>
        </w:numPr>
        <w:spacing w:line="580" w:lineRule="exact"/>
        <w:ind w:left="0" w:firstLine="620"/>
        <w:rPr>
          <w:rFonts w:ascii="仿宋_GB2312" w:eastAsia="仿宋_GB2312" w:hint="eastAsia"/>
          <w:sz w:val="32"/>
          <w:szCs w:val="32"/>
        </w:rPr>
      </w:pPr>
      <w:r w:rsidRPr="002A5A9C">
        <w:rPr>
          <w:rFonts w:ascii="仿宋_GB2312" w:eastAsia="仿宋_GB2312" w:hint="eastAsia"/>
          <w:sz w:val="32"/>
          <w:szCs w:val="32"/>
        </w:rPr>
        <w:t>冬奥会与京津冀经济社会发展研究</w:t>
      </w:r>
    </w:p>
    <w:p w:rsidR="005444CB" w:rsidRDefault="005444CB" w:rsidP="005444CB">
      <w:pPr>
        <w:numPr>
          <w:ilvl w:val="0"/>
          <w:numId w:val="1"/>
        </w:numPr>
        <w:spacing w:line="580" w:lineRule="exact"/>
        <w:ind w:left="0" w:firstLine="620"/>
        <w:rPr>
          <w:rFonts w:ascii="仿宋_GB2312" w:eastAsia="仿宋_GB2312" w:hint="eastAsia"/>
          <w:sz w:val="32"/>
          <w:szCs w:val="32"/>
        </w:rPr>
      </w:pPr>
      <w:r w:rsidRPr="00216614">
        <w:rPr>
          <w:rFonts w:ascii="仿宋_GB2312" w:eastAsia="仿宋_GB2312" w:hint="eastAsia"/>
          <w:sz w:val="32"/>
          <w:szCs w:val="32"/>
        </w:rPr>
        <w:t>冬奥会背景下京津冀冬季旅游协同发展</w:t>
      </w:r>
    </w:p>
    <w:p w:rsidR="005444CB" w:rsidRPr="001361F5" w:rsidRDefault="005444CB" w:rsidP="005444CB">
      <w:pPr>
        <w:numPr>
          <w:ilvl w:val="0"/>
          <w:numId w:val="1"/>
        </w:numPr>
        <w:spacing w:line="580" w:lineRule="exact"/>
        <w:ind w:left="0" w:firstLine="620"/>
        <w:rPr>
          <w:rFonts w:ascii="楷体_GB2312" w:eastAsia="楷体_GB2312" w:hint="eastAsia"/>
          <w:sz w:val="32"/>
          <w:szCs w:val="32"/>
        </w:rPr>
      </w:pPr>
      <w:r>
        <w:rPr>
          <w:rFonts w:ascii="仿宋_GB2312" w:eastAsia="仿宋_GB2312" w:hint="eastAsia"/>
          <w:sz w:val="32"/>
          <w:szCs w:val="32"/>
        </w:rPr>
        <w:t>京津冀共建示范区先行先试政策措施研究</w:t>
      </w:r>
      <w:r w:rsidRPr="001361F5">
        <w:rPr>
          <w:rFonts w:ascii="楷体_GB2312" w:eastAsia="楷体_GB2312" w:hAnsi="楷体" w:hint="eastAsia"/>
          <w:sz w:val="28"/>
          <w:szCs w:val="28"/>
        </w:rPr>
        <w:t>（这些示范区主要包括：北京与河北共建曹妃甸协同发展示范区；北京市密云、延庆和河北省张家口、承德共建生态文明先行示范区；天津生态城国家绿色发展示范区；京津共建滨海一中关村科技园和京津合作示范区）</w:t>
      </w:r>
    </w:p>
    <w:p w:rsidR="005444CB" w:rsidRPr="001361F5" w:rsidRDefault="005444CB" w:rsidP="005444CB">
      <w:pPr>
        <w:numPr>
          <w:ilvl w:val="0"/>
          <w:numId w:val="1"/>
        </w:numPr>
        <w:spacing w:line="580" w:lineRule="exact"/>
        <w:ind w:left="0" w:firstLine="620"/>
        <w:rPr>
          <w:rFonts w:ascii="楷体_GB2312" w:eastAsia="楷体_GB2312" w:hAnsi="楷体" w:hint="eastAsia"/>
          <w:sz w:val="28"/>
          <w:szCs w:val="28"/>
        </w:rPr>
      </w:pPr>
      <w:r>
        <w:rPr>
          <w:rFonts w:ascii="仿宋_GB2312" w:eastAsia="仿宋_GB2312" w:hint="eastAsia"/>
          <w:sz w:val="32"/>
          <w:szCs w:val="32"/>
        </w:rPr>
        <w:t>京津冀协同发展改革试点先行先试政策措施研究</w:t>
      </w:r>
      <w:r w:rsidRPr="001361F5">
        <w:rPr>
          <w:rFonts w:ascii="楷体_GB2312" w:eastAsia="楷体_GB2312" w:hAnsi="楷体" w:hint="eastAsia"/>
          <w:sz w:val="28"/>
          <w:szCs w:val="28"/>
        </w:rPr>
        <w:t>（这些改革试点主要聚焦在以下领域：（1）北京新机场临空经济区改革试点；（2）亚太经合组织绿色供应链试点；（3）京津冀轨道交通一体化投资试点；（4）京津冀重点城市公交“一卡通”互联互通试点和汽车电子标识试点；（5）京津冀货物多式联运和公路甩挂运输试点；（6）环首都国家公园试点；（7）推进京津冀排污权有偿使用和交易试点；（8）京津冀碳排放权交易试点；（9）京津冀编制自然资源资产负债表和领导干部自然资源资产离任审计试点；（10）京津冀国家级开发区共建跨区域合作园区或合作联盟试点；（11）京津冀经济社会发展规划、城乡规划、土地利用规划、生态环境保护规划等多规合一改革试点；（12）京津冀区域性、跨省域中央垂直管理部门整合改革试点；（13）京津冀社会保障对接试点；（14）京津冀跨地区购买养老服务试点；（15）京津冀农民工进城落户政策试点；（16）京津冀部分市</w:t>
      </w:r>
      <w:r w:rsidRPr="001361F5">
        <w:rPr>
          <w:rFonts w:ascii="楷体_GB2312" w:eastAsia="楷体_GB2312" w:hAnsi="楷体" w:hint="eastAsia"/>
          <w:sz w:val="28"/>
          <w:szCs w:val="28"/>
        </w:rPr>
        <w:lastRenderedPageBreak/>
        <w:t>县先行开展高等教育、社会保障、医疗卫生等方面同城化试点；（17）在北京开展服务业扩大开放综合试点；（18）京津冀区域间劳动保障监察、农产品流通、质量安全监管、重大动植物疫病防控等协同机制试点；（19）京津冀国家新型城镇化综合试点；（20）混合所有制经济和民营经济综合改革试点。）</w:t>
      </w:r>
    </w:p>
    <w:p w:rsidR="005444CB" w:rsidRPr="001A0690" w:rsidRDefault="005444CB" w:rsidP="005444CB">
      <w:pPr>
        <w:spacing w:line="580" w:lineRule="exact"/>
        <w:ind w:firstLineChars="200" w:firstLine="640"/>
        <w:rPr>
          <w:rFonts w:ascii="宋体" w:hAnsi="宋体" w:cs="宋体" w:hint="eastAsia"/>
          <w:sz w:val="32"/>
          <w:szCs w:val="32"/>
        </w:rPr>
      </w:pPr>
    </w:p>
    <w:p w:rsidR="005444CB" w:rsidRPr="00790E5A" w:rsidRDefault="005444CB" w:rsidP="005444CB">
      <w:pPr>
        <w:spacing w:line="580" w:lineRule="exact"/>
        <w:ind w:firstLineChars="200" w:firstLine="640"/>
        <w:outlineLvl w:val="1"/>
        <w:rPr>
          <w:rFonts w:ascii="黑体" w:eastAsia="黑体" w:hint="eastAsia"/>
          <w:bCs/>
          <w:sz w:val="32"/>
          <w:szCs w:val="32"/>
        </w:rPr>
      </w:pPr>
      <w:r w:rsidRPr="00790E5A">
        <w:rPr>
          <w:rFonts w:ascii="黑体" w:eastAsia="黑体" w:hint="eastAsia"/>
          <w:bCs/>
          <w:sz w:val="32"/>
          <w:szCs w:val="32"/>
        </w:rPr>
        <w:t>四、分论坛三：</w:t>
      </w:r>
      <w:r w:rsidRPr="003E19EB">
        <w:rPr>
          <w:rFonts w:ascii="黑体" w:eastAsia="黑体" w:hint="eastAsia"/>
          <w:bCs/>
          <w:sz w:val="32"/>
          <w:szCs w:val="32"/>
        </w:rPr>
        <w:t>绿色发展</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京津冀生态协同新进展、新困境与新探索</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在疏解北京非首都功能过程中运用市场化手段控制增量政策措施研究</w:t>
      </w:r>
    </w:p>
    <w:p w:rsidR="005444CB" w:rsidRDefault="005444CB" w:rsidP="005444CB">
      <w:pPr>
        <w:numPr>
          <w:ilvl w:val="0"/>
          <w:numId w:val="1"/>
        </w:numPr>
        <w:spacing w:line="580" w:lineRule="exact"/>
        <w:ind w:firstLine="200"/>
        <w:rPr>
          <w:rFonts w:ascii="仿宋_GB2312" w:eastAsia="仿宋_GB2312" w:hint="eastAsia"/>
          <w:sz w:val="32"/>
          <w:szCs w:val="32"/>
        </w:rPr>
      </w:pPr>
      <w:r>
        <w:rPr>
          <w:rFonts w:ascii="仿宋_GB2312" w:eastAsia="仿宋_GB2312" w:hint="eastAsia"/>
          <w:sz w:val="32"/>
          <w:szCs w:val="32"/>
        </w:rPr>
        <w:t>京津冀协同发展与土地开发强度</w:t>
      </w:r>
    </w:p>
    <w:p w:rsidR="005444CB" w:rsidRDefault="005444CB" w:rsidP="005444CB">
      <w:pPr>
        <w:numPr>
          <w:ilvl w:val="0"/>
          <w:numId w:val="1"/>
        </w:numPr>
        <w:spacing w:line="580" w:lineRule="exact"/>
        <w:ind w:firstLine="200"/>
        <w:rPr>
          <w:rFonts w:ascii="仿宋_GB2312" w:eastAsia="仿宋_GB2312" w:hint="eastAsia"/>
          <w:sz w:val="32"/>
          <w:szCs w:val="32"/>
        </w:rPr>
      </w:pPr>
      <w:r>
        <w:rPr>
          <w:rFonts w:ascii="仿宋_GB2312" w:eastAsia="仿宋_GB2312" w:hint="eastAsia"/>
          <w:sz w:val="32"/>
          <w:szCs w:val="32"/>
        </w:rPr>
        <w:t>建立和完善国土空间用途管制制度</w:t>
      </w:r>
    </w:p>
    <w:p w:rsidR="005444CB" w:rsidRDefault="005444CB" w:rsidP="005444CB">
      <w:pPr>
        <w:numPr>
          <w:ilvl w:val="0"/>
          <w:numId w:val="1"/>
        </w:numPr>
        <w:spacing w:line="580" w:lineRule="exact"/>
        <w:ind w:firstLine="200"/>
        <w:rPr>
          <w:rFonts w:ascii="仿宋_GB2312" w:eastAsia="仿宋_GB2312" w:hint="eastAsia"/>
          <w:sz w:val="32"/>
          <w:szCs w:val="32"/>
        </w:rPr>
      </w:pPr>
      <w:r>
        <w:rPr>
          <w:rFonts w:ascii="仿宋_GB2312" w:eastAsia="仿宋_GB2312" w:hint="eastAsia"/>
          <w:sz w:val="32"/>
          <w:szCs w:val="32"/>
        </w:rPr>
        <w:t>京津冀生态文明制度体系建设</w:t>
      </w:r>
    </w:p>
    <w:p w:rsidR="005444CB" w:rsidRDefault="005444CB" w:rsidP="005444CB">
      <w:pPr>
        <w:numPr>
          <w:ilvl w:val="0"/>
          <w:numId w:val="1"/>
        </w:numPr>
        <w:spacing w:line="580" w:lineRule="exact"/>
        <w:ind w:firstLine="200"/>
        <w:rPr>
          <w:rFonts w:ascii="仿宋_GB2312" w:eastAsia="仿宋_GB2312" w:hint="eastAsia"/>
          <w:sz w:val="32"/>
          <w:szCs w:val="32"/>
        </w:rPr>
      </w:pPr>
      <w:r>
        <w:rPr>
          <w:rFonts w:ascii="仿宋_GB2312" w:eastAsia="仿宋_GB2312" w:hint="eastAsia"/>
          <w:sz w:val="32"/>
          <w:szCs w:val="32"/>
        </w:rPr>
        <w:t>京津冀联防联控环境污染机制</w:t>
      </w:r>
    </w:p>
    <w:p w:rsidR="005444CB" w:rsidRDefault="005444CB" w:rsidP="005444CB">
      <w:pPr>
        <w:numPr>
          <w:ilvl w:val="0"/>
          <w:numId w:val="1"/>
        </w:numPr>
        <w:spacing w:line="580" w:lineRule="exact"/>
        <w:ind w:firstLine="200"/>
        <w:rPr>
          <w:rFonts w:ascii="仿宋_GB2312" w:eastAsia="仿宋_GB2312" w:hint="eastAsia"/>
          <w:sz w:val="32"/>
          <w:szCs w:val="32"/>
        </w:rPr>
      </w:pPr>
      <w:r>
        <w:rPr>
          <w:rFonts w:ascii="仿宋_GB2312" w:eastAsia="仿宋_GB2312" w:hint="eastAsia"/>
          <w:sz w:val="32"/>
          <w:szCs w:val="32"/>
        </w:rPr>
        <w:t>区域循环经济与绿色循环低碳发展</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生态保护建设与优化生态安全格局</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环首都国家公园和森林公园建设</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推进碳汇林建设与增强适应气候变化能力</w:t>
      </w:r>
    </w:p>
    <w:p w:rsidR="005444CB" w:rsidRDefault="005444CB" w:rsidP="005444CB">
      <w:pPr>
        <w:numPr>
          <w:ilvl w:val="0"/>
          <w:numId w:val="1"/>
        </w:numPr>
        <w:spacing w:line="580" w:lineRule="exact"/>
        <w:ind w:left="0" w:firstLine="620"/>
        <w:rPr>
          <w:rFonts w:ascii="仿宋_GB2312" w:eastAsia="仿宋_GB2312" w:hint="eastAsia"/>
          <w:sz w:val="32"/>
          <w:szCs w:val="32"/>
        </w:rPr>
      </w:pPr>
      <w:r w:rsidRPr="00D812C9">
        <w:rPr>
          <w:rFonts w:ascii="仿宋_GB2312" w:eastAsia="仿宋_GB2312" w:hint="eastAsia"/>
          <w:sz w:val="32"/>
          <w:szCs w:val="32"/>
        </w:rPr>
        <w:t>京津冀地区水资源优化和污染治理</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水资源管理与区域水资源承载能力</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水权交易与双向生态补偿机制</w:t>
      </w:r>
    </w:p>
    <w:p w:rsidR="005444CB" w:rsidRPr="00B461BE" w:rsidRDefault="005444CB" w:rsidP="005444CB">
      <w:pPr>
        <w:numPr>
          <w:ilvl w:val="0"/>
          <w:numId w:val="1"/>
        </w:numPr>
        <w:spacing w:line="580" w:lineRule="exact"/>
        <w:ind w:left="0" w:firstLine="620"/>
        <w:rPr>
          <w:rFonts w:ascii="仿宋_GB2312" w:eastAsia="仿宋_GB2312" w:hint="eastAsia"/>
          <w:sz w:val="32"/>
          <w:szCs w:val="32"/>
        </w:rPr>
      </w:pPr>
      <w:r w:rsidRPr="00B461BE">
        <w:rPr>
          <w:rFonts w:ascii="仿宋_GB2312" w:eastAsia="仿宋_GB2312" w:hint="eastAsia"/>
          <w:sz w:val="32"/>
          <w:szCs w:val="32"/>
        </w:rPr>
        <w:t>京津冀区域能源消费结构与节能政策研究</w:t>
      </w:r>
    </w:p>
    <w:p w:rsidR="005444CB" w:rsidRDefault="005444CB" w:rsidP="005444CB">
      <w:pPr>
        <w:numPr>
          <w:ilvl w:val="0"/>
          <w:numId w:val="1"/>
        </w:numPr>
        <w:spacing w:line="580" w:lineRule="exact"/>
        <w:ind w:left="0" w:firstLine="620"/>
        <w:rPr>
          <w:rFonts w:ascii="仿宋_GB2312" w:eastAsia="仿宋_GB2312" w:hint="eastAsia"/>
          <w:sz w:val="32"/>
          <w:szCs w:val="32"/>
        </w:rPr>
      </w:pPr>
      <w:r w:rsidRPr="00B461BE">
        <w:rPr>
          <w:rFonts w:ascii="仿宋_GB2312" w:eastAsia="仿宋_GB2312" w:hint="eastAsia"/>
          <w:sz w:val="32"/>
          <w:szCs w:val="32"/>
        </w:rPr>
        <w:t>京津冀产业协同下的能源效率研究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新能源规模化发展和综合利用</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lastRenderedPageBreak/>
        <w:t>疏解北京非首都功能与人口调控</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疏解北京非首都功能与淘汰高耗能产业</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土地节约集约利用与土壤净化</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京津冀排污权有偿使用与交易机制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自然资源资产负债表和领导干部自然资源资产管理</w:t>
      </w:r>
    </w:p>
    <w:p w:rsidR="005444CB" w:rsidRDefault="005444CB" w:rsidP="005444CB">
      <w:pPr>
        <w:spacing w:line="580" w:lineRule="exact"/>
        <w:ind w:firstLineChars="200" w:firstLine="640"/>
        <w:rPr>
          <w:rFonts w:ascii="宋体" w:hAnsi="宋体" w:cs="宋体" w:hint="eastAsia"/>
          <w:sz w:val="32"/>
          <w:szCs w:val="32"/>
        </w:rPr>
      </w:pPr>
    </w:p>
    <w:p w:rsidR="005444CB" w:rsidRPr="00790E5A" w:rsidRDefault="005444CB" w:rsidP="005444CB">
      <w:pPr>
        <w:spacing w:line="580" w:lineRule="exact"/>
        <w:ind w:firstLineChars="200" w:firstLine="640"/>
        <w:outlineLvl w:val="1"/>
        <w:rPr>
          <w:rFonts w:ascii="黑体" w:eastAsia="黑体" w:hint="eastAsia"/>
          <w:bCs/>
          <w:sz w:val="32"/>
          <w:szCs w:val="32"/>
        </w:rPr>
      </w:pPr>
      <w:r w:rsidRPr="00790E5A">
        <w:rPr>
          <w:rFonts w:ascii="黑体" w:eastAsia="黑体" w:hint="eastAsia"/>
          <w:bCs/>
          <w:sz w:val="32"/>
          <w:szCs w:val="32"/>
        </w:rPr>
        <w:t>五、分论坛四：</w:t>
      </w:r>
      <w:r w:rsidRPr="003E19EB">
        <w:rPr>
          <w:rFonts w:ascii="黑体" w:eastAsia="黑体" w:hint="eastAsia"/>
          <w:bCs/>
          <w:sz w:val="32"/>
          <w:szCs w:val="32"/>
        </w:rPr>
        <w:t>开放发展</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京津冀协同发展与“一带一路”战略</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CBD在京津冀协同发展中的地位与作用研究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提升京津冀国际化水平的思路和路径</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建立健全京津冀与国内外其他区域合作机制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京津冀基础设施互联互通体制机制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推进京津冀港口群、机场群建设</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北京新机场临空经济区改革试点建设</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中国（天津）自由贸易试验区建设</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国内外自贸区发展比较及对天津自贸区发展的启示</w:t>
      </w:r>
    </w:p>
    <w:p w:rsidR="005444CB" w:rsidRDefault="005444CB" w:rsidP="005444CB">
      <w:pPr>
        <w:numPr>
          <w:ilvl w:val="0"/>
          <w:numId w:val="1"/>
        </w:numPr>
        <w:spacing w:line="580" w:lineRule="exact"/>
        <w:ind w:left="0" w:firstLine="620"/>
        <w:rPr>
          <w:rFonts w:ascii="仿宋_GB2312" w:eastAsia="仿宋_GB2312" w:hint="eastAsia"/>
          <w:sz w:val="32"/>
          <w:szCs w:val="32"/>
        </w:rPr>
      </w:pPr>
      <w:r w:rsidRPr="009D3D0F">
        <w:rPr>
          <w:rFonts w:ascii="仿宋_GB2312" w:eastAsia="仿宋_GB2312" w:hint="eastAsia"/>
          <w:sz w:val="32"/>
          <w:szCs w:val="32"/>
        </w:rPr>
        <w:t>中国（天津）自由贸易试验区</w:t>
      </w:r>
      <w:r>
        <w:rPr>
          <w:rFonts w:ascii="仿宋_GB2312" w:eastAsia="仿宋_GB2312" w:hint="eastAsia"/>
          <w:sz w:val="32"/>
          <w:szCs w:val="32"/>
        </w:rPr>
        <w:t>先行先试政策措施研究</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吸引国际组织总部落户与提升首都服务国际交往软硬水平</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北京、天津国际性智库集聚地建设</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推进北京服务业扩大开放综合试点建设</w:t>
      </w:r>
    </w:p>
    <w:p w:rsidR="005444CB" w:rsidRPr="00B17A67" w:rsidRDefault="005444CB" w:rsidP="005444CB">
      <w:pPr>
        <w:spacing w:line="580" w:lineRule="exact"/>
        <w:ind w:firstLineChars="200" w:firstLine="640"/>
        <w:rPr>
          <w:rFonts w:ascii="宋体" w:hAnsi="宋体" w:cs="宋体" w:hint="eastAsia"/>
          <w:sz w:val="32"/>
          <w:szCs w:val="32"/>
        </w:rPr>
      </w:pPr>
    </w:p>
    <w:p w:rsidR="005444CB" w:rsidRPr="00790E5A" w:rsidRDefault="005444CB" w:rsidP="005444CB">
      <w:pPr>
        <w:spacing w:line="580" w:lineRule="exact"/>
        <w:ind w:firstLineChars="200" w:firstLine="640"/>
        <w:outlineLvl w:val="1"/>
        <w:rPr>
          <w:rFonts w:ascii="黑体" w:eastAsia="黑体" w:hint="eastAsia"/>
          <w:bCs/>
          <w:sz w:val="32"/>
          <w:szCs w:val="32"/>
        </w:rPr>
      </w:pPr>
      <w:r w:rsidRPr="00790E5A">
        <w:rPr>
          <w:rFonts w:ascii="黑体" w:eastAsia="黑体" w:hint="eastAsia"/>
          <w:bCs/>
          <w:sz w:val="32"/>
          <w:szCs w:val="32"/>
        </w:rPr>
        <w:t>六、分论坛五：</w:t>
      </w:r>
      <w:r w:rsidRPr="003E19EB">
        <w:rPr>
          <w:rFonts w:ascii="黑体" w:eastAsia="黑体" w:hint="eastAsia"/>
          <w:bCs/>
          <w:sz w:val="32"/>
          <w:szCs w:val="32"/>
        </w:rPr>
        <w:t>共享发展</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lastRenderedPageBreak/>
        <w:t>京津冀协同发展与提高百姓获得感</w:t>
      </w:r>
    </w:p>
    <w:p w:rsidR="005444CB" w:rsidRDefault="005444CB" w:rsidP="005444CB">
      <w:pPr>
        <w:numPr>
          <w:ilvl w:val="0"/>
          <w:numId w:val="1"/>
        </w:numPr>
        <w:spacing w:line="580" w:lineRule="exact"/>
        <w:ind w:left="0" w:firstLine="620"/>
        <w:rPr>
          <w:rFonts w:ascii="仿宋_GB2312" w:eastAsia="仿宋_GB2312" w:hint="eastAsia"/>
          <w:sz w:val="32"/>
          <w:szCs w:val="32"/>
        </w:rPr>
      </w:pPr>
      <w:r w:rsidRPr="00BB4E4A">
        <w:rPr>
          <w:rFonts w:ascii="仿宋_GB2312" w:eastAsia="仿宋_GB2312" w:hint="eastAsia"/>
          <w:sz w:val="32"/>
          <w:szCs w:val="32"/>
        </w:rPr>
        <w:t>京津冀协同发展下的社会治理问题研究</w:t>
      </w:r>
    </w:p>
    <w:p w:rsidR="005444CB" w:rsidRPr="00982A4E"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京津冀协同发展过程中的社会心态分析</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京津冀协同发展过程</w:t>
      </w:r>
      <w:r w:rsidRPr="001361F5">
        <w:rPr>
          <w:rFonts w:ascii="仿宋_GB2312" w:eastAsia="仿宋_GB2312" w:hint="eastAsia"/>
          <w:sz w:val="32"/>
          <w:szCs w:val="32"/>
        </w:rPr>
        <w:t>中的社会矛盾与社会风险防范</w:t>
      </w:r>
    </w:p>
    <w:p w:rsidR="005444CB" w:rsidRDefault="005444CB" w:rsidP="005444CB">
      <w:pPr>
        <w:numPr>
          <w:ilvl w:val="0"/>
          <w:numId w:val="1"/>
        </w:numPr>
        <w:spacing w:line="580" w:lineRule="exact"/>
        <w:ind w:left="0" w:firstLine="620"/>
        <w:rPr>
          <w:rFonts w:ascii="仿宋_GB2312" w:eastAsia="仿宋_GB2312" w:hint="eastAsia"/>
          <w:sz w:val="32"/>
          <w:szCs w:val="32"/>
        </w:rPr>
      </w:pPr>
      <w:r>
        <w:rPr>
          <w:rFonts w:ascii="仿宋_GB2312" w:eastAsia="仿宋_GB2312" w:hint="eastAsia"/>
          <w:sz w:val="32"/>
          <w:szCs w:val="32"/>
        </w:rPr>
        <w:t>优化京津冀教育资源布局</w:t>
      </w:r>
    </w:p>
    <w:p w:rsidR="005444CB" w:rsidRDefault="005444CB" w:rsidP="005444CB">
      <w:pPr>
        <w:numPr>
          <w:ilvl w:val="0"/>
          <w:numId w:val="1"/>
        </w:numPr>
        <w:tabs>
          <w:tab w:val="left" w:pos="1440"/>
        </w:tabs>
        <w:spacing w:line="580" w:lineRule="exact"/>
        <w:ind w:left="0" w:firstLine="620"/>
        <w:rPr>
          <w:rFonts w:ascii="仿宋_GB2312" w:eastAsia="仿宋_GB2312" w:hint="eastAsia"/>
          <w:sz w:val="32"/>
          <w:szCs w:val="32"/>
        </w:rPr>
      </w:pPr>
      <w:r>
        <w:rPr>
          <w:rFonts w:ascii="仿宋_GB2312" w:eastAsia="仿宋_GB2312" w:hint="eastAsia"/>
          <w:sz w:val="32"/>
          <w:szCs w:val="32"/>
        </w:rPr>
        <w:t>完善区域教育合作机制</w:t>
      </w:r>
    </w:p>
    <w:p w:rsidR="005444CB" w:rsidRDefault="005444CB" w:rsidP="005444CB">
      <w:pPr>
        <w:numPr>
          <w:ilvl w:val="0"/>
          <w:numId w:val="1"/>
        </w:numPr>
        <w:tabs>
          <w:tab w:val="left" w:pos="1440"/>
        </w:tabs>
        <w:spacing w:line="580" w:lineRule="exact"/>
        <w:ind w:left="0" w:firstLine="620"/>
        <w:rPr>
          <w:rFonts w:ascii="仿宋_GB2312" w:eastAsia="仿宋_GB2312" w:hint="eastAsia"/>
          <w:sz w:val="32"/>
          <w:szCs w:val="32"/>
        </w:rPr>
      </w:pPr>
      <w:r>
        <w:rPr>
          <w:rFonts w:ascii="仿宋_GB2312" w:eastAsia="仿宋_GB2312" w:hint="eastAsia"/>
          <w:sz w:val="32"/>
          <w:szCs w:val="32"/>
        </w:rPr>
        <w:t>促进高等学校优质教学科研资源共享</w:t>
      </w:r>
    </w:p>
    <w:p w:rsidR="005444CB" w:rsidRDefault="005444CB" w:rsidP="005444CB">
      <w:pPr>
        <w:numPr>
          <w:ilvl w:val="0"/>
          <w:numId w:val="1"/>
        </w:numPr>
        <w:tabs>
          <w:tab w:val="left" w:pos="1440"/>
        </w:tabs>
        <w:spacing w:line="580" w:lineRule="exact"/>
        <w:ind w:left="0" w:firstLine="620"/>
        <w:rPr>
          <w:rFonts w:ascii="仿宋_GB2312" w:eastAsia="仿宋_GB2312" w:hint="eastAsia"/>
          <w:sz w:val="32"/>
          <w:szCs w:val="32"/>
        </w:rPr>
      </w:pPr>
      <w:r>
        <w:rPr>
          <w:rFonts w:ascii="仿宋_GB2312" w:eastAsia="仿宋_GB2312" w:hint="eastAsia"/>
          <w:sz w:val="32"/>
          <w:szCs w:val="32"/>
        </w:rPr>
        <w:t>逐步提高京津冀公共服务均等化水平</w:t>
      </w:r>
    </w:p>
    <w:p w:rsidR="005444CB" w:rsidRDefault="005444CB" w:rsidP="005444CB">
      <w:pPr>
        <w:numPr>
          <w:ilvl w:val="0"/>
          <w:numId w:val="1"/>
        </w:numPr>
        <w:tabs>
          <w:tab w:val="left" w:pos="1440"/>
        </w:tabs>
        <w:spacing w:line="580" w:lineRule="exact"/>
        <w:ind w:left="0" w:firstLine="620"/>
        <w:rPr>
          <w:rFonts w:ascii="仿宋_GB2312" w:eastAsia="仿宋_GB2312" w:hint="eastAsia"/>
          <w:sz w:val="32"/>
          <w:szCs w:val="32"/>
        </w:rPr>
      </w:pPr>
      <w:r>
        <w:rPr>
          <w:rFonts w:ascii="仿宋_GB2312" w:eastAsia="仿宋_GB2312" w:hint="eastAsia"/>
          <w:sz w:val="32"/>
          <w:szCs w:val="32"/>
        </w:rPr>
        <w:t>加快建设与产业发展相适应的现代职业教育体系</w:t>
      </w:r>
    </w:p>
    <w:p w:rsidR="005444CB" w:rsidRDefault="005444CB" w:rsidP="005444CB">
      <w:pPr>
        <w:numPr>
          <w:ilvl w:val="0"/>
          <w:numId w:val="1"/>
        </w:numPr>
        <w:tabs>
          <w:tab w:val="left" w:pos="1440"/>
        </w:tabs>
        <w:spacing w:line="580" w:lineRule="exact"/>
        <w:ind w:left="0" w:firstLine="620"/>
        <w:rPr>
          <w:rFonts w:ascii="仿宋_GB2312" w:eastAsia="仿宋_GB2312" w:hint="eastAsia"/>
          <w:sz w:val="32"/>
          <w:szCs w:val="32"/>
        </w:rPr>
      </w:pPr>
      <w:r>
        <w:rPr>
          <w:rFonts w:ascii="仿宋_GB2312" w:eastAsia="仿宋_GB2312" w:hint="eastAsia"/>
          <w:sz w:val="32"/>
          <w:szCs w:val="32"/>
        </w:rPr>
        <w:t>推动在京医疗资源向京外、京郊疏解，优化医疗资源布局</w:t>
      </w:r>
    </w:p>
    <w:p w:rsidR="005444CB" w:rsidRDefault="005444CB" w:rsidP="005444CB">
      <w:pPr>
        <w:numPr>
          <w:ilvl w:val="0"/>
          <w:numId w:val="1"/>
        </w:numPr>
        <w:tabs>
          <w:tab w:val="left" w:pos="1440"/>
        </w:tabs>
        <w:spacing w:line="580" w:lineRule="exact"/>
        <w:ind w:left="0" w:firstLine="620"/>
        <w:rPr>
          <w:rFonts w:ascii="仿宋_GB2312" w:eastAsia="仿宋_GB2312" w:hint="eastAsia"/>
          <w:sz w:val="32"/>
          <w:szCs w:val="32"/>
        </w:rPr>
      </w:pPr>
      <w:r>
        <w:rPr>
          <w:rFonts w:ascii="仿宋_GB2312" w:eastAsia="仿宋_GB2312" w:hint="eastAsia"/>
          <w:sz w:val="32"/>
          <w:szCs w:val="32"/>
        </w:rPr>
        <w:t>推动异地养老和康复疗养</w:t>
      </w:r>
    </w:p>
    <w:p w:rsidR="005444CB" w:rsidRDefault="005444CB" w:rsidP="005444CB">
      <w:pPr>
        <w:numPr>
          <w:ilvl w:val="0"/>
          <w:numId w:val="1"/>
        </w:numPr>
        <w:tabs>
          <w:tab w:val="left" w:pos="1440"/>
        </w:tabs>
        <w:spacing w:line="580" w:lineRule="exact"/>
        <w:ind w:left="0" w:firstLine="620"/>
        <w:rPr>
          <w:rFonts w:ascii="仿宋_GB2312" w:eastAsia="仿宋_GB2312" w:hint="eastAsia"/>
          <w:sz w:val="32"/>
          <w:szCs w:val="32"/>
        </w:rPr>
      </w:pPr>
      <w:r>
        <w:rPr>
          <w:rFonts w:ascii="仿宋_GB2312" w:eastAsia="仿宋_GB2312" w:hint="eastAsia"/>
          <w:sz w:val="32"/>
          <w:szCs w:val="32"/>
        </w:rPr>
        <w:t>京津冀协同发展与完善分级诊疗模式</w:t>
      </w:r>
    </w:p>
    <w:p w:rsidR="005444CB" w:rsidRDefault="005444CB" w:rsidP="005444CB">
      <w:pPr>
        <w:numPr>
          <w:ilvl w:val="0"/>
          <w:numId w:val="1"/>
        </w:numPr>
        <w:tabs>
          <w:tab w:val="left" w:pos="1440"/>
        </w:tabs>
        <w:spacing w:line="580" w:lineRule="exact"/>
        <w:ind w:left="0" w:firstLine="620"/>
        <w:rPr>
          <w:rFonts w:ascii="仿宋_GB2312" w:eastAsia="仿宋_GB2312" w:hint="eastAsia"/>
          <w:sz w:val="32"/>
          <w:szCs w:val="32"/>
        </w:rPr>
      </w:pPr>
      <w:r>
        <w:rPr>
          <w:rFonts w:ascii="仿宋_GB2312" w:eastAsia="仿宋_GB2312" w:hint="eastAsia"/>
          <w:sz w:val="32"/>
          <w:szCs w:val="32"/>
        </w:rPr>
        <w:t>推动</w:t>
      </w:r>
      <w:r w:rsidRPr="000057E2">
        <w:rPr>
          <w:rFonts w:ascii="仿宋_GB2312" w:eastAsia="仿宋_GB2312" w:hint="eastAsia"/>
          <w:sz w:val="32"/>
          <w:szCs w:val="32"/>
        </w:rPr>
        <w:t>高考、退休保障、医疗异地结算</w:t>
      </w:r>
      <w:r>
        <w:rPr>
          <w:rFonts w:ascii="仿宋_GB2312" w:eastAsia="仿宋_GB2312" w:hint="eastAsia"/>
          <w:sz w:val="32"/>
          <w:szCs w:val="32"/>
        </w:rPr>
        <w:t>等社会政策顺畅衔接</w:t>
      </w:r>
    </w:p>
    <w:p w:rsidR="005444CB" w:rsidRDefault="005444CB" w:rsidP="005444CB">
      <w:pPr>
        <w:numPr>
          <w:ilvl w:val="0"/>
          <w:numId w:val="1"/>
        </w:numPr>
        <w:tabs>
          <w:tab w:val="left" w:pos="1440"/>
        </w:tabs>
        <w:spacing w:line="580" w:lineRule="exact"/>
        <w:ind w:left="0" w:firstLine="620"/>
        <w:rPr>
          <w:rFonts w:ascii="仿宋_GB2312" w:eastAsia="仿宋_GB2312" w:hint="eastAsia"/>
          <w:sz w:val="32"/>
          <w:szCs w:val="32"/>
        </w:rPr>
      </w:pPr>
      <w:r>
        <w:rPr>
          <w:rFonts w:ascii="仿宋_GB2312" w:eastAsia="仿宋_GB2312" w:hint="eastAsia"/>
          <w:sz w:val="32"/>
          <w:szCs w:val="32"/>
        </w:rPr>
        <w:t>北京非首都功能疏解承接地区公共服务设施配套建设</w:t>
      </w:r>
    </w:p>
    <w:p w:rsidR="005444CB" w:rsidRDefault="005444CB" w:rsidP="005444CB">
      <w:pPr>
        <w:numPr>
          <w:ilvl w:val="0"/>
          <w:numId w:val="1"/>
        </w:numPr>
        <w:tabs>
          <w:tab w:val="left" w:pos="1440"/>
        </w:tabs>
        <w:spacing w:line="580" w:lineRule="exact"/>
        <w:ind w:left="0" w:firstLine="620"/>
        <w:rPr>
          <w:rFonts w:ascii="仿宋_GB2312" w:eastAsia="仿宋_GB2312" w:hint="eastAsia"/>
          <w:sz w:val="32"/>
          <w:szCs w:val="32"/>
        </w:rPr>
      </w:pPr>
      <w:r>
        <w:rPr>
          <w:rFonts w:ascii="仿宋_GB2312" w:eastAsia="仿宋_GB2312" w:hint="eastAsia"/>
          <w:sz w:val="32"/>
          <w:szCs w:val="32"/>
        </w:rPr>
        <w:t>完善鼓励人口到疏解地区居住，</w:t>
      </w:r>
      <w:r w:rsidRPr="00EB634A">
        <w:rPr>
          <w:rFonts w:ascii="仿宋_GB2312" w:eastAsia="仿宋_GB2312" w:hint="eastAsia"/>
          <w:sz w:val="32"/>
          <w:szCs w:val="32"/>
        </w:rPr>
        <w:t>实现“职住合一”</w:t>
      </w:r>
      <w:r>
        <w:rPr>
          <w:rFonts w:ascii="仿宋_GB2312" w:eastAsia="仿宋_GB2312" w:hint="eastAsia"/>
          <w:sz w:val="32"/>
          <w:szCs w:val="32"/>
        </w:rPr>
        <w:t>的相关政策措施</w:t>
      </w:r>
    </w:p>
    <w:p w:rsidR="005444CB" w:rsidRDefault="005444CB" w:rsidP="005444CB">
      <w:pPr>
        <w:rPr>
          <w:rFonts w:ascii="仿宋_GB2312" w:eastAsia="仿宋_GB2312"/>
          <w:sz w:val="32"/>
          <w:szCs w:val="32"/>
        </w:rPr>
      </w:pPr>
    </w:p>
    <w:p w:rsidR="00200318" w:rsidRPr="005444CB" w:rsidRDefault="00200318"/>
    <w:sectPr w:rsidR="00200318" w:rsidRPr="005444C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2C3" w:rsidRDefault="008D42C3" w:rsidP="005444CB">
      <w:r>
        <w:separator/>
      </w:r>
    </w:p>
  </w:endnote>
  <w:endnote w:type="continuationSeparator" w:id="0">
    <w:p w:rsidR="008D42C3" w:rsidRDefault="008D42C3" w:rsidP="00544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2C3" w:rsidRDefault="008D42C3" w:rsidP="005444CB">
      <w:r>
        <w:separator/>
      </w:r>
    </w:p>
  </w:footnote>
  <w:footnote w:type="continuationSeparator" w:id="0">
    <w:p w:rsidR="008D42C3" w:rsidRDefault="008D42C3" w:rsidP="00544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AC5"/>
    <w:multiLevelType w:val="hybridMultilevel"/>
    <w:tmpl w:val="054C9E46"/>
    <w:lvl w:ilvl="0" w:tplc="9910811A">
      <w:start w:val="1"/>
      <w:numFmt w:val="decimal"/>
      <w:lvlText w:val="%1."/>
      <w:lvlJc w:val="left"/>
      <w:pPr>
        <w:tabs>
          <w:tab w:val="num" w:pos="426"/>
        </w:tabs>
        <w:ind w:left="426" w:firstLine="0"/>
      </w:pPr>
      <w:rPr>
        <w:rFonts w:hint="eastAsia"/>
      </w:rPr>
    </w:lvl>
    <w:lvl w:ilvl="1" w:tplc="04090019">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4CB"/>
    <w:rsid w:val="00200318"/>
    <w:rsid w:val="005444CB"/>
    <w:rsid w:val="00836C80"/>
    <w:rsid w:val="008D4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C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44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44CB"/>
    <w:rPr>
      <w:sz w:val="18"/>
      <w:szCs w:val="18"/>
    </w:rPr>
  </w:style>
  <w:style w:type="paragraph" w:styleId="a4">
    <w:name w:val="footer"/>
    <w:basedOn w:val="a"/>
    <w:link w:val="Char0"/>
    <w:uiPriority w:val="99"/>
    <w:semiHidden/>
    <w:unhideWhenUsed/>
    <w:rsid w:val="005444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44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417</Words>
  <Characters>2379</Characters>
  <Application>Microsoft Office Word</Application>
  <DocSecurity>0</DocSecurity>
  <Lines>19</Lines>
  <Paragraphs>5</Paragraphs>
  <ScaleCrop>false</ScaleCrop>
  <Company>china</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2016-06-24T01:25:00Z</dcterms:created>
  <dcterms:modified xsi:type="dcterms:W3CDTF">2016-06-24T01:25:00Z</dcterms:modified>
</cp:coreProperties>
</file>